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9"/>
          <w:tab w:val="left" w:pos="6602"/>
        </w:tabs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pacing w:val="-2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宜春</w:t>
      </w:r>
      <w:r>
        <w:rPr>
          <w:rFonts w:ascii="Times New Roman" w:hAnsi="Times New Roman" w:eastAsia="方正小标宋简体" w:cs="Times New Roman"/>
          <w:spacing w:val="-2"/>
          <w:sz w:val="44"/>
          <w:szCs w:val="44"/>
        </w:rPr>
        <w:t>市中心城区生活垃圾分类和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pacing w:val="-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2"/>
          <w:sz w:val="44"/>
          <w:szCs w:val="44"/>
        </w:rPr>
        <w:t>减量工作管理考评办法</w:t>
      </w:r>
    </w:p>
    <w:p>
      <w:pPr>
        <w:spacing w:line="620" w:lineRule="exact"/>
        <w:ind w:firstLine="612" w:firstLineChars="200"/>
        <w:rPr>
          <w:rFonts w:ascii="Times New Roman" w:hAnsi="Times New Roman" w:eastAsia="方正仿宋简体" w:cs="Times New Roman"/>
          <w:spacing w:val="-2"/>
          <w:sz w:val="31"/>
          <w:szCs w:val="31"/>
        </w:rPr>
      </w:pPr>
    </w:p>
    <w:p>
      <w:pPr>
        <w:spacing w:line="580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为深入推进宜春市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中心城区</w:t>
      </w:r>
      <w:r>
        <w:rPr>
          <w:rFonts w:ascii="Times New Roman" w:hAnsi="Times New Roman" w:eastAsia="仿宋_GB2312" w:cs="Times New Roman"/>
          <w:sz w:val="31"/>
          <w:szCs w:val="31"/>
        </w:rPr>
        <w:t>生活垃圾分类工作，建立完善的检查监督长效管理机制，促进生活垃圾分类体系建设和管理水平提升，根据我市生活垃圾分类和减量工作总体要求，制定本办法。</w:t>
      </w:r>
    </w:p>
    <w:p>
      <w:pPr>
        <w:spacing w:line="580" w:lineRule="exact"/>
        <w:ind w:firstLine="620" w:firstLineChars="200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z w:val="31"/>
          <w:szCs w:val="31"/>
        </w:rPr>
        <w:t>一、考评工作实施主体</w:t>
      </w:r>
    </w:p>
    <w:p>
      <w:pPr>
        <w:spacing w:line="580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考评由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市</w:t>
      </w:r>
      <w:r>
        <w:rPr>
          <w:rFonts w:ascii="Times New Roman" w:hAnsi="Times New Roman" w:eastAsia="仿宋_GB2312" w:cs="Times New Roman"/>
          <w:sz w:val="31"/>
          <w:szCs w:val="31"/>
        </w:rPr>
        <w:t>城管局组织实施（局部考评内容引入第三方考评）。</w:t>
      </w:r>
    </w:p>
    <w:p>
      <w:pPr>
        <w:spacing w:line="580" w:lineRule="exact"/>
        <w:ind w:firstLine="620" w:firstLineChars="200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bCs/>
          <w:sz w:val="31"/>
          <w:szCs w:val="31"/>
        </w:rPr>
        <w:t>二、考评范围和考评对象</w:t>
      </w:r>
    </w:p>
    <w:p>
      <w:pPr>
        <w:spacing w:line="580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袁州区、经开区、宜阳新区、明月山温泉风景名胜区；市直责任单位。</w:t>
      </w:r>
    </w:p>
    <w:p>
      <w:pPr>
        <w:spacing w:line="580" w:lineRule="exact"/>
        <w:ind w:firstLine="620" w:firstLineChars="200"/>
        <w:rPr>
          <w:rFonts w:ascii="Times New Roman" w:hAnsi="Times New Roman" w:eastAsia="黑体" w:cs="Times New Roman"/>
          <w:bCs/>
          <w:sz w:val="31"/>
          <w:szCs w:val="31"/>
        </w:rPr>
      </w:pPr>
      <w:r>
        <w:rPr>
          <w:rFonts w:ascii="Times New Roman" w:hAnsi="Times New Roman" w:eastAsia="黑体" w:cs="Times New Roman"/>
          <w:bCs/>
          <w:sz w:val="31"/>
          <w:szCs w:val="31"/>
        </w:rPr>
        <w:t>三、考评工作安排</w:t>
      </w:r>
    </w:p>
    <w:p>
      <w:pPr>
        <w:spacing w:line="580" w:lineRule="exact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 xml:space="preserve">    袁州区、经开区、宜阳新区、明月山温泉风景名胜区每月进行一次考评；市直责任单位每季度进行一次考评。</w:t>
      </w:r>
    </w:p>
    <w:p>
      <w:pPr>
        <w:spacing w:line="580" w:lineRule="exact"/>
        <w:ind w:firstLine="620" w:firstLineChars="200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z w:val="31"/>
          <w:szCs w:val="31"/>
        </w:rPr>
        <w:t>四、考评内容</w:t>
      </w:r>
    </w:p>
    <w:p>
      <w:pPr>
        <w:spacing w:line="580" w:lineRule="exact"/>
        <w:ind w:firstLine="622" w:firstLineChars="200"/>
        <w:rPr>
          <w:rFonts w:ascii="Times New Roman" w:hAnsi="Times New Roman" w:eastAsia="楷体_GB2312" w:cs="Times New Roman"/>
          <w:b/>
          <w:bCs/>
          <w:sz w:val="31"/>
          <w:szCs w:val="31"/>
        </w:rPr>
      </w:pPr>
      <w:r>
        <w:rPr>
          <w:rFonts w:ascii="Times New Roman" w:hAnsi="Times New Roman" w:eastAsia="楷体_GB2312" w:cs="Times New Roman"/>
          <w:b/>
          <w:bCs/>
          <w:sz w:val="31"/>
          <w:szCs w:val="31"/>
        </w:rPr>
        <w:t>（一）袁州区、经开区、宜阳新区、明月山温泉风景名胜区</w:t>
      </w:r>
    </w:p>
    <w:p>
      <w:pPr>
        <w:spacing w:line="580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组织领导、宣传培训、硬件配置、组织管理、分类效果、加（减）分六个方面。</w:t>
      </w:r>
    </w:p>
    <w:p>
      <w:pPr>
        <w:spacing w:line="580" w:lineRule="exact"/>
        <w:ind w:firstLine="622" w:firstLineChars="200"/>
        <w:rPr>
          <w:rFonts w:ascii="Times New Roman" w:hAnsi="Times New Roman" w:eastAsia="楷体_GB2312" w:cs="Times New Roman"/>
          <w:b/>
          <w:bCs/>
          <w:sz w:val="31"/>
          <w:szCs w:val="31"/>
        </w:rPr>
      </w:pPr>
      <w:r>
        <w:rPr>
          <w:rFonts w:ascii="Times New Roman" w:hAnsi="Times New Roman" w:eastAsia="楷体_GB2312" w:cs="Times New Roman"/>
          <w:b/>
          <w:bCs/>
          <w:sz w:val="31"/>
          <w:szCs w:val="31"/>
        </w:rPr>
        <w:t>（二）市直责任单位</w:t>
      </w:r>
    </w:p>
    <w:p>
      <w:pPr>
        <w:spacing w:line="580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组织领导、工作成效、任务完成、报送信息、进步贡献情况等方面。</w:t>
      </w:r>
    </w:p>
    <w:p>
      <w:pPr>
        <w:spacing w:line="580" w:lineRule="exact"/>
        <w:ind w:firstLine="620" w:firstLineChars="200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z w:val="31"/>
          <w:szCs w:val="31"/>
        </w:rPr>
        <w:t>五、考评方法</w:t>
      </w:r>
    </w:p>
    <w:p>
      <w:pPr>
        <w:spacing w:line="580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主要采取现场查看、听取汇报、查阅资料、随机问询、民意测评等方式，民意测评选择第三方调查机构采取随机访问、问卷调查的形式。</w:t>
      </w:r>
    </w:p>
    <w:p>
      <w:pPr>
        <w:spacing w:line="580" w:lineRule="exact"/>
        <w:ind w:firstLine="620" w:firstLineChars="200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z w:val="31"/>
          <w:szCs w:val="31"/>
        </w:rPr>
        <w:t>六、考评计分与奖励</w:t>
      </w:r>
    </w:p>
    <w:p>
      <w:pPr>
        <w:spacing w:line="580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检查考评项目实行累计扣分制，不符合标准或是发现问题处理不及时，均按《生活垃圾分类和减量工作考评评分细则》扣减相应分数，加（减）分项列入考评。</w:t>
      </w:r>
    </w:p>
    <w:p>
      <w:pPr>
        <w:spacing w:line="580" w:lineRule="exact"/>
        <w:ind w:firstLine="620" w:firstLineChars="200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z w:val="31"/>
          <w:szCs w:val="31"/>
        </w:rPr>
        <w:t>七、考评成绩综合运用</w:t>
      </w:r>
    </w:p>
    <w:p>
      <w:pPr>
        <w:spacing w:line="580" w:lineRule="exact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 xml:space="preserve">    各区和市直责任单位的考核成绩报市委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、</w:t>
      </w:r>
      <w:r>
        <w:rPr>
          <w:rFonts w:ascii="Times New Roman" w:hAnsi="Times New Roman" w:eastAsia="仿宋_GB2312" w:cs="Times New Roman"/>
          <w:sz w:val="31"/>
          <w:szCs w:val="31"/>
        </w:rPr>
        <w:t>市政府，纳入生态文明建设目标评价考核体系（占比2%）、综治工作（平安建设）差异化考核评价扣分项目（分值3分）、绩效考核体系和文明单位考核体系（实行考核未达标一票否决制）。</w:t>
      </w:r>
    </w:p>
    <w:p>
      <w:pPr>
        <w:spacing w:line="580" w:lineRule="exact"/>
        <w:ind w:firstLine="620" w:firstLineChars="200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z w:val="31"/>
          <w:szCs w:val="31"/>
        </w:rPr>
        <w:t>八、工作要求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（一）各区政府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（管委会）</w:t>
      </w:r>
      <w:r>
        <w:rPr>
          <w:rFonts w:ascii="Times New Roman" w:hAnsi="Times New Roman" w:eastAsia="仿宋_GB2312" w:cs="Times New Roman"/>
          <w:sz w:val="31"/>
          <w:szCs w:val="31"/>
        </w:rPr>
        <w:t>是生活垃圾分类和减量工作的推进主体。要履行督导职责，督促指导各街道、社区开展生活垃圾分类和减量工作；对各街道开展生活垃圾分类和减量工作每月不少于一次检查，对工作明显落后的街道，约谈街道主要领导并限期整改，情况及时报市垃圾分类领导小组办公室；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（二）各市直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单位</w:t>
      </w:r>
      <w:r>
        <w:rPr>
          <w:rFonts w:ascii="Times New Roman" w:hAnsi="Times New Roman" w:eastAsia="仿宋_GB2312" w:cs="Times New Roman"/>
          <w:sz w:val="31"/>
          <w:szCs w:val="31"/>
        </w:rPr>
        <w:t>要根据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各自</w:t>
      </w:r>
      <w:r>
        <w:rPr>
          <w:rFonts w:ascii="Times New Roman" w:hAnsi="Times New Roman" w:eastAsia="仿宋_GB2312" w:cs="Times New Roman"/>
          <w:sz w:val="31"/>
          <w:szCs w:val="31"/>
        </w:rPr>
        <w:t>职责，做好垃圾分类相关工作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；</w:t>
      </w:r>
    </w:p>
    <w:p>
      <w:pPr>
        <w:spacing w:line="580" w:lineRule="exact"/>
        <w:ind w:firstLine="620" w:firstLineChars="200"/>
        <w:rPr>
          <w:rFonts w:hint="eastAsia"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（三）对检查中发现的问题要有序落实整改，明确整改责任，把责任分解落实到责任单位、责任人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；</w:t>
      </w:r>
    </w:p>
    <w:p>
      <w:pPr>
        <w:spacing w:line="580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>（四）</w:t>
      </w:r>
      <w:r>
        <w:rPr>
          <w:rFonts w:ascii="Times New Roman" w:hAnsi="Times New Roman" w:eastAsia="仿宋_GB2312" w:cs="Times New Roman"/>
          <w:sz w:val="31"/>
          <w:szCs w:val="31"/>
        </w:rPr>
        <w:t>各县（市）要参照本办法制定辖区生活垃圾分类工作检查考评办法和实施细则，进一步建立健全生活垃圾分类和减量工作的日常管理和考评机制，严格组织，紧扣时间节点，抓好任务落实。</w:t>
      </w:r>
    </w:p>
    <w:p>
      <w:pPr>
        <w:widowControl/>
        <w:jc w:val="left"/>
        <w:rPr>
          <w:rFonts w:hint="eastAsia"/>
        </w:rPr>
      </w:pPr>
    </w:p>
    <w:p>
      <w:pPr>
        <w:spacing w:line="580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附件：</w:t>
      </w:r>
    </w:p>
    <w:p>
      <w:pPr>
        <w:spacing w:line="580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>3</w:t>
      </w:r>
      <w:r>
        <w:rPr>
          <w:rFonts w:ascii="Times New Roman" w:hAnsi="Times New Roman" w:eastAsia="仿宋_GB2312" w:cs="Times New Roman"/>
          <w:sz w:val="31"/>
          <w:szCs w:val="31"/>
        </w:rPr>
        <w:t>—1生活垃圾分类和减量工作考评评分细则 （考评对象：袁州区、经开区、宜阳新区、明月山温泉风景名胜区）</w:t>
      </w:r>
    </w:p>
    <w:p>
      <w:pPr>
        <w:spacing w:line="560" w:lineRule="exact"/>
        <w:ind w:firstLine="62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>3</w:t>
      </w:r>
      <w:r>
        <w:rPr>
          <w:rFonts w:ascii="Times New Roman" w:hAnsi="Times New Roman" w:eastAsia="仿宋_GB2312" w:cs="Times New Roman"/>
          <w:sz w:val="31"/>
          <w:szCs w:val="31"/>
        </w:rPr>
        <w:t>—2</w:t>
      </w:r>
      <w:r>
        <w:rPr>
          <w:rFonts w:hint="eastAsia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ascii="Times New Roman" w:hAnsi="Times New Roman" w:eastAsia="仿宋_GB2312" w:cs="Times New Roman"/>
          <w:sz w:val="31"/>
          <w:szCs w:val="31"/>
        </w:rPr>
        <w:t>生活垃圾分类和减量工作考评评分细则（考评对象：市直责任单位）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C6374"/>
    <w:rsid w:val="24EC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2018-01-02T08:37:00Z</dcterms:created>
  <dc:creator>山羊四万元</dc:creator>
  <cp:lastModifiedBy>山羊四万元</cp:lastModifiedBy>
  <dcterms:modified xsi:type="dcterms:W3CDTF">2018-01-02T08:37:46Z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