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88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宜春学院首席信息官（CIO）制度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讨论稿）</w:t>
      </w:r>
    </w:p>
    <w:p w14:paraId="56A843EA">
      <w:pPr>
        <w:spacing w:before="120" w:after="120" w:line="288" w:lineRule="auto"/>
        <w:ind w:left="0"/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第一章 总则</w:t>
      </w:r>
    </w:p>
    <w:p w14:paraId="5A7305A8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第一条 为深入贯彻落实党的二十届四中全会关于统筹教育强国建设、深入实施教育数字化战略的决策部署，落实《教育部等九部门关于加快推进教育数字化的意见》（教办〔2025〕3号）中关于健全数字化发展制度体系、推进教育数据集成治理、深化人工智能与教育融合等最新要求，切实执行《江西省教育数字化三年行动方案(2025-2027年)》《江西省“数据要素×”三年行动实施方案(2024-2026年)》中教育数据共享、智慧教育发展的相关部署，加快推进学校教育数字化转型，构建支撑应用型人才培养、科学研究与社会服务的数字化体系，提升学校治理能力现代化水平，结合我校地方本科应用型高校办学定位和发展实际，特制定本制度。</w:t>
      </w:r>
    </w:p>
    <w:p w14:paraId="4FC5097C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第二条 构建和实行首席信息官（Chief Information Officer，简称CIO）制度，是学校落实教育数字化战略、支撑应用型办学定位的重要举措，其核心意义在于统筹全校信息化发展战略规划，规避建设碎片化问题；破解跨部门协同壁垒，提升校园治理数字化效能；赋能应用型人才培养与科研成果转化，强化办学核心使命；筑牢网络与数据安全底线，保障学校数字化建设健康有序推进。</w:t>
      </w:r>
    </w:p>
    <w:p w14:paraId="26484522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第三条 首席信息官（CIO）是学校信息化工作的总负责人，统筹协调全校信息化规划、建设、管理与应用工作，对学校信息化发展战略、重大项目决策、资源配置等关键事项承担主导责任，推动信息化与教育教学、科学研究、管理服务、校园治理深度融合。</w:t>
      </w:r>
    </w:p>
    <w:p w14:paraId="6324BFA0">
      <w:pPr>
        <w:spacing w:before="120" w:after="120" w:line="288" w:lineRule="auto"/>
        <w:ind w:left="0"/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第二章 任职条件与聘任程序</w:t>
      </w:r>
    </w:p>
    <w:p w14:paraId="5B5FD9DC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第五条 CIO任职需具备以下条件：</w:t>
      </w:r>
    </w:p>
    <w:p w14:paraId="551098CF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（一）政治素质过硬，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中共党员，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坚持社会主义办学方向，熟悉国家教育方针政策及教育数字化相关法律法规，具有强烈的事业心和责任感。</w:t>
      </w:r>
    </w:p>
    <w:p w14:paraId="0055CE19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（二）具备深厚的教育管理经验和较强的组织协调能力，熟悉地方本科应用型高校办学规律，了解应用型人才培养对信息化的需求，能够统筹推进信息化与学校核心工作融合。</w:t>
      </w:r>
    </w:p>
    <w:p w14:paraId="2EEA8FEB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（三）具备一定的信息化专业素养，了解信息技术发展趋势，掌握教育信息化相关技术标准和应用场景，能够对学校信息化规划、项目建设等提出专业意见。</w:t>
      </w:r>
    </w:p>
    <w:p w14:paraId="14BF6D8B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（四）具有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正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高级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或县处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及以上专业技术职务或相应管理职级，在学校任职满3年及以上，熟悉学校内部管理架构和运行机制。</w:t>
      </w:r>
    </w:p>
    <w:p w14:paraId="699A0556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（五）具备良好的沟通表达、团队领导和应急处置能力，能够协调解决信息化建设与应用中的跨部门、跨领域问题。</w:t>
      </w:r>
    </w:p>
    <w:p w14:paraId="63771C9B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第六条 CIO一般由以下人员担任：</w:t>
      </w:r>
    </w:p>
    <w:p w14:paraId="6390FB24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（一）学校分管信息化工作的副校长、校长助理；</w:t>
      </w:r>
    </w:p>
    <w:p w14:paraId="1AA5BC6B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（二）具备丰富教育管理经验的职能部门负责人（如教务处、研究生院、信息化管理部门等）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。</w:t>
      </w:r>
    </w:p>
    <w:p w14:paraId="5A5B3637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第七条 CIO聘任程序：</w:t>
      </w:r>
    </w:p>
    <w:p w14:paraId="1498C10C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（一）提名推荐：由学校校长提名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推荐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。</w:t>
      </w:r>
    </w:p>
    <w:p w14:paraId="315B756A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）审议聘任：经校长办公会审议通过，报学校党委常委会批准后，正式聘任并公布，任期3年，可连聘连任，连任不超过2届。</w:t>
      </w:r>
    </w:p>
    <w:p w14:paraId="7A8AD04B">
      <w:pPr>
        <w:spacing w:before="120" w:after="120" w:line="288" w:lineRule="auto"/>
        <w:ind w:left="0"/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第三章 主要职责</w:t>
      </w:r>
    </w:p>
    <w:p w14:paraId="3321879E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第八条 战略规划职责：</w:t>
      </w:r>
    </w:p>
    <w:p w14:paraId="4DDFD88D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（一）牵头编制学校信息化发展中长期规划和年度工作计划，对接国家、省市级教育数字化发展战略，结合学校应用型办学目标，明确信息化建设的重点方向、主要任务和实施路径。</w:t>
      </w:r>
    </w:p>
    <w:p w14:paraId="4A4659AE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（二）组织开展信息化发展战略研究，跟踪信息技术前沿动态和教育信息化发展趋势，定期向学校党委常委会、校长办公会汇报信息化工作进展，提出优化调整信息化发展战略的建议。</w:t>
      </w:r>
    </w:p>
    <w:p w14:paraId="4ABC9FD1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第九条 统筹协调职责：</w:t>
      </w:r>
    </w:p>
    <w:p w14:paraId="5D5DE4BE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（一）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统筹协调全校信息化资源配置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包括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全校信息化年度专项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经费、人员、场地、设备等，建立跨部门信息化工作协调机制，解决信息化建设与应用中的跨领域、跨部门协同问题。</w:t>
      </w:r>
    </w:p>
    <w:p w14:paraId="7AA4D555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（二）牵头协调信息化与教育教学融合工作，推动数字教学资源建设、在线开放课程开发、智慧教室建设等，支撑应用型人才培养模式改革。</w:t>
      </w:r>
    </w:p>
    <w:p w14:paraId="63974140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（三）统筹推进科研信息化建设，协调搭建科研数据共享平台、虚拟仿真科研平台等，支撑应用型科研项目开展和成果转化。</w:t>
      </w:r>
    </w:p>
    <w:p w14:paraId="6787C31B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（四）协调推进管理服务信息化，推动“一网通办”“一网统管”建设，优化办事流程，提升校园治理数字化水平。</w:t>
      </w:r>
    </w:p>
    <w:p w14:paraId="3B1023B2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第十条 决策管理职责：</w:t>
      </w:r>
    </w:p>
    <w:p w14:paraId="4D4764E1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（一）主持召开学校信息化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委员会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会议，审议信息化发展规划、年度工作计划、重大信息化项目立项、大额信息化经费使用等关键事项，形成决策意见并推动落实。</w:t>
      </w:r>
    </w:p>
    <w:p w14:paraId="5D8A8F5E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（二）对学校信息化重大项目建设方案、技术标准、合作服务商选择等进行审核把关，组织开展项目可行性研究和论证，确保项目建设符合学校发展需求和技术规范。</w:t>
      </w:r>
    </w:p>
    <w:p w14:paraId="4AD3EE09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（三）统筹管理学校数据资源，建立数据资源管理规范和共享机制，推动数据汇聚、整合与应用，保障数据安全和质量。</w:t>
      </w:r>
    </w:p>
    <w:p w14:paraId="1FFB22C1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第十一条 建设推进职责：</w:t>
      </w:r>
    </w:p>
    <w:p w14:paraId="6ED81D45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（一）牵头推进学校信息化基础设施建设，包括校园网络、数据中心、云计算平台、物联网平台等，保障基础设施安全稳定运行。</w:t>
      </w:r>
    </w:p>
    <w:p w14:paraId="2C3B2579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（二）组织推进教育教学、科研、管理服务等领域的信息化应用系统建设和升级改造，推动系统互联互通和数据共享，避免重复建设。</w:t>
      </w:r>
    </w:p>
    <w:p w14:paraId="0851EAD4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（三）监督指导信息化项目实施过程，组织开展项目阶段性验收和竣工验收，确保项目按时完成、质量达标、资金合规使用。</w:t>
      </w:r>
    </w:p>
    <w:p w14:paraId="15D54C8F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第十二条 安全保障职责：</w:t>
      </w:r>
    </w:p>
    <w:p w14:paraId="23C4E795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（一）牵头建立健全学校网络安全和数据安全管理制度，落实网络安全工作责任制，组织开展网络安全风险评估和隐患排查，防范化解网络安全风险。</w:t>
      </w:r>
    </w:p>
    <w:p w14:paraId="0F9EF6FC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（二）协调处理网络安全和数据安全突发事件，制定应急预案并组织演练，保障校园网络和信息系统安全稳定运行。</w:t>
      </w:r>
    </w:p>
    <w:p w14:paraId="5DCA5083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（三）加强网络安全和信息化宣传教育，提升师生员工网络安全意识和信息化素养。</w:t>
      </w:r>
    </w:p>
    <w:p w14:paraId="1E1226B9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第十三条 其他职责：</w:t>
      </w:r>
    </w:p>
    <w:p w14:paraId="48322455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（一）对接上级教育行政部门信息化工作部署，按时完成相关数据上报、项目申报等工作。</w:t>
      </w:r>
    </w:p>
    <w:p w14:paraId="5343049F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（二）加强与兄弟院校、行业企业、科研机构的信息化交流合作，引进先进经验和技术资源，提升学校信息化建设水平。</w:t>
      </w:r>
    </w:p>
    <w:p w14:paraId="2871637C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（三）组织开展信息化工作考核评价，对各部门信息化工作成效进行评估，推动信息化工作持续改进。</w:t>
      </w:r>
    </w:p>
    <w:p w14:paraId="77EF80B3">
      <w:pPr>
        <w:spacing w:before="120" w:after="120" w:line="288" w:lineRule="auto"/>
        <w:ind w:left="0"/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第四章 工作机制</w:t>
      </w:r>
    </w:p>
    <w:p w14:paraId="0188BFF9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第十四条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学校网络安全和信息化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委员会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是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CIO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制度体系的决策层。CIO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应担任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学校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网络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安全与信息化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委员会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副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主任委员，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成员包括各职能部门、教学院（部）主要负责人及相关信息化专家。</w:t>
      </w:r>
    </w:p>
    <w:p w14:paraId="15DE14AA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第十五条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网络安全与信息化工作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办公室是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CIO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制度体系的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协调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层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，由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宣传部部长兼任办公室主任，现代教育技术与信息中心主任为办公室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常务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副主任，作为领导小组的日常办事机构，配备专职工作人员，协助CIO开展日常工作，落实领导小组决策事项，协调推进各项信息化工作。</w:t>
      </w:r>
    </w:p>
    <w:p w14:paraId="1D0433C9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第十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条 部门信息化联络员制度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是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是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CIO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制度体系的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执行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层，各部门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和教学院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指定1名负责人作为本部门信息化联络员，对接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网络安全与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信息化工作办公室，负责本部门信息化需求梳理、项目配合、应用推广等工作。</w:t>
      </w:r>
    </w:p>
    <w:p w14:paraId="58897EEA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第十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条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网络安全与信息化委员会应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定期召开会议，原则上每学期至少召开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次，特殊情况可随时召开。会议由CIO召集，形成会议纪要并印发全校执行。</w:t>
      </w:r>
    </w:p>
    <w:p w14:paraId="699FC4D0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第十八条 建立信息化专家咨询机制，聘请校外教育信息化专家、行业技术专家组成专家咨询委员会，为学校信息化规划、重大项目建设、技术选型等提供专业咨询和论证意见。</w:t>
      </w:r>
    </w:p>
    <w:p w14:paraId="5C6C17BA">
      <w:pPr>
        <w:spacing w:before="120" w:after="120" w:line="288" w:lineRule="auto"/>
        <w:ind w:left="0"/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第五章 保障措施</w:t>
      </w:r>
    </w:p>
    <w:p w14:paraId="4017A8E2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第十九条 经费保障：学校设立信息化专项经费，纳入年度预算，保障信息化规划编制、基础设施建设、应用系统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建设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、安全保障、人员培训等工作需求。CIO负责统筹专项经费的使用管理，确保经费专款专用、高效利用。</w:t>
      </w:r>
    </w:p>
    <w:p w14:paraId="05FDC3C7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第二十条 人员保障：建立专业化信息化工作队伍，明确信息化管理部门和各部门信息化工作人员岗位职责，加强信息化人才培养和引进，定期组织信息化业务培训，提升工作人员专业素养。</w:t>
      </w:r>
    </w:p>
    <w:p w14:paraId="179EBBB8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第二十一条 制度保障：完善信息化相关配套制度，包括项目管理、经费管理、数据管理、网络安全管理、考核评价等制度，形成覆盖信息化全流程的制度体系，规范信息化工作开展。</w:t>
      </w:r>
    </w:p>
    <w:p w14:paraId="04D8792B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第二十二条 技术保障：加强与行业领先企业、科研机构的技术合作，引进先进信息技术和服务资源，建立信息化技术支撑体系，保障信息化基础设施和应用系统稳定运行。</w:t>
      </w:r>
    </w:p>
    <w:p w14:paraId="6B8AE3AF">
      <w:pPr>
        <w:spacing w:before="120" w:after="120" w:line="288" w:lineRule="auto"/>
        <w:ind w:left="0"/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第六章 考核评价</w:t>
      </w:r>
    </w:p>
    <w:p w14:paraId="32AE7246">
      <w:pPr>
        <w:spacing w:before="120" w:after="120" w:line="288" w:lineRule="auto"/>
        <w:ind w:left="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第二十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条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在CIO的领导下，网络安全与信息化工作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办公室对在信息化工作中表现突出的部门和个人，给予表彰奖励；对因工作失职、渎职导致信息化建设滞后、网络安全事故、资金浪费等问题的，依规依纪追究相关人员责任。</w:t>
      </w:r>
    </w:p>
    <w:p w14:paraId="714B57CC">
      <w:pPr>
        <w:spacing w:before="120" w:after="120" w:line="288" w:lineRule="auto"/>
        <w:ind w:left="0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第七章 附则</w:t>
      </w:r>
    </w:p>
    <w:p w14:paraId="128BB445">
      <w:pPr>
        <w:spacing w:before="120" w:after="120" w:line="288" w:lineRule="auto"/>
        <w:ind w:firstLine="600" w:firstLineChars="20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0"/>
          <w:szCs w:val="30"/>
        </w:rPr>
        <w:t>本制度自发布之日起施行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由学校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网络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安全与信息化工作办公室负责解释。</w:t>
      </w:r>
    </w:p>
    <w:p w14:paraId="72D16586">
      <w:pPr>
        <w:spacing w:before="120" w:after="120" w:line="288" w:lineRule="auto"/>
        <w:ind w:left="5760" w:hanging="5760" w:hangingChars="18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                                                                                           宜 春 学 院  </w:t>
      </w:r>
    </w:p>
    <w:p w14:paraId="5E7B7A8C">
      <w:pPr>
        <w:spacing w:before="120" w:after="120" w:line="288" w:lineRule="auto"/>
        <w:ind w:left="5760" w:hanging="5760" w:hangingChars="1800"/>
        <w:jc w:val="left"/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                               2025年12月15日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ECDC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9D4F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D4F0A"/>
    <w:rsid w:val="28BF0DB9"/>
    <w:rsid w:val="2D3C3E3E"/>
    <w:rsid w:val="33141071"/>
    <w:rsid w:val="3B022380"/>
    <w:rsid w:val="3B84690C"/>
    <w:rsid w:val="3D831BC4"/>
    <w:rsid w:val="4ABA5D99"/>
    <w:rsid w:val="59E35520"/>
    <w:rsid w:val="6B366000"/>
    <w:rsid w:val="6EB6795B"/>
    <w:rsid w:val="71B92CB6"/>
    <w:rsid w:val="7ED175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3156</Words>
  <Characters>3230</Characters>
  <TotalTime>12</TotalTime>
  <ScaleCrop>false</ScaleCrop>
  <LinksUpToDate>false</LinksUpToDate>
  <CharactersWithSpaces>3393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2025-12-13T04:08:00Z</dcterms:created>
  <dc:creator>Apache POI</dc:creator>
  <cp:lastModifiedBy>吕淙</cp:lastModifiedBy>
  <dcterms:modified xsi:type="dcterms:W3CDTF">2025-12-23T08:18:17Z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eyJoZGlkIjoiODM3M2U4ZDUyNTBlMjZiMjUzY2UzYThjMmI5MjliNmMiLCJ1c2VySWQiOiIxNzE2NjAzODE1In0=</vt:lpwstr>
  </property>
  <property fmtid="{D5CDD505-2E9C-101B-9397-08002B2CF9AE}" pid="3" name="KSOProductBuildVer">
    <vt:lpwstr>2052-12.1.0.19770</vt:lpwstr>
  </property>
  <property fmtid="{D5CDD505-2E9C-101B-9397-08002B2CF9AE}" pid="4" name="ICV">
    <vt:lpwstr>82311039F0174D8C818B236CC9B179C3_13</vt:lpwstr>
  </property>
</Properties>
</file>